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07D" w:rsidRPr="00BA52CD" w:rsidRDefault="008A707D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hAnsi="Arial" w:cs="Arial"/>
          <w:i/>
          <w:noProof/>
        </w:rPr>
        <w:drawing>
          <wp:inline distT="0" distB="0" distL="0" distR="0">
            <wp:extent cx="1514475" cy="561975"/>
            <wp:effectExtent l="0" t="0" r="9525" b="9525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07D" w:rsidRPr="00BA52CD" w:rsidRDefault="008A707D" w:rsidP="008A707D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BA52CD">
        <w:rPr>
          <w:rFonts w:ascii="Arial" w:hAnsi="Arial" w:cs="Arial"/>
          <w:b/>
          <w:bCs/>
          <w:spacing w:val="2"/>
        </w:rPr>
        <w:t>INSTRUCCIONES METODOLOGICAS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 xml:space="preserve">FORMULARIO </w:t>
      </w:r>
      <w:r w:rsidR="00200F85">
        <w:rPr>
          <w:rFonts w:ascii="Arial" w:eastAsia="Calibri" w:hAnsi="Arial" w:cs="Arial"/>
          <w:b/>
          <w:lang w:eastAsia="en-US"/>
        </w:rPr>
        <w:t>T 13</w:t>
      </w:r>
      <w:r w:rsidRPr="00BA52CD">
        <w:rPr>
          <w:rFonts w:ascii="Arial" w:eastAsia="Calibri" w:hAnsi="Arial" w:cs="Arial"/>
          <w:b/>
          <w:lang w:eastAsia="en-US"/>
        </w:rPr>
        <w:t>-0</w:t>
      </w:r>
      <w:r w:rsidR="00200F85">
        <w:rPr>
          <w:rFonts w:ascii="Arial" w:eastAsia="Calibri" w:hAnsi="Arial" w:cs="Arial"/>
          <w:b/>
          <w:lang w:eastAsia="en-US"/>
        </w:rPr>
        <w:t>0</w:t>
      </w:r>
      <w:r w:rsidR="008A707D" w:rsidRPr="00BA52CD">
        <w:rPr>
          <w:rFonts w:ascii="Arial" w:eastAsia="Calibri" w:hAnsi="Arial" w:cs="Arial"/>
          <w:b/>
          <w:lang w:eastAsia="en-US"/>
        </w:rPr>
        <w:t xml:space="preserve"> </w:t>
      </w:r>
      <w:r w:rsidRPr="00BA52CD">
        <w:rPr>
          <w:rFonts w:ascii="Arial" w:eastAsia="Calibri" w:hAnsi="Arial" w:cs="Arial"/>
          <w:b/>
          <w:lang w:eastAsia="en-US"/>
        </w:rPr>
        <w:t xml:space="preserve">CONSUMO INTERMEDIO DE PRODUCTOS 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I. OBJETIVOS</w:t>
      </w:r>
    </w:p>
    <w:p w:rsidR="00CB6A21" w:rsidRPr="00C055C1" w:rsidRDefault="00CB6A21" w:rsidP="00CB6A21">
      <w:pPr>
        <w:spacing w:after="240" w:line="240" w:lineRule="auto"/>
        <w:jc w:val="both"/>
        <w:rPr>
          <w:rFonts w:ascii="Arial" w:hAnsi="Arial" w:cs="Arial"/>
        </w:rPr>
      </w:pPr>
      <w:r w:rsidRPr="00C055C1">
        <w:rPr>
          <w:rFonts w:ascii="Arial" w:hAnsi="Arial" w:cs="Arial"/>
        </w:rPr>
        <w:t>Disponer de estadísticas de producción de bienes y servicios que facilite la toma de decisiones de las autoridades municipales y provinciales.</w:t>
      </w:r>
    </w:p>
    <w:p w:rsidR="00EA0540" w:rsidRPr="00BA52CD" w:rsidRDefault="00CB6A21" w:rsidP="00CB6A21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C055C1">
        <w:rPr>
          <w:rFonts w:ascii="Arial" w:hAnsi="Arial" w:cs="Arial"/>
        </w:rPr>
        <w:t>Disponer de información de producción de bienes y servicios para elaborar el Producto Interno Bruto a nivel regional y nacional.</w:t>
      </w:r>
    </w:p>
    <w:p w:rsidR="00EA0540" w:rsidRPr="00BA52CD" w:rsidRDefault="00EA0540" w:rsidP="008A707D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II. CARACTERIZACIÓN</w:t>
      </w:r>
    </w:p>
    <w:p w:rsidR="00355E7F" w:rsidRPr="00C055C1" w:rsidRDefault="008A707D" w:rsidP="00355E7F">
      <w:pPr>
        <w:tabs>
          <w:tab w:val="left" w:pos="1701"/>
        </w:tabs>
        <w:spacing w:after="240"/>
        <w:ind w:left="1276" w:hanging="1058"/>
        <w:jc w:val="both"/>
        <w:rPr>
          <w:rFonts w:ascii="Arial" w:hAnsi="Arial" w:cs="Arial"/>
        </w:rPr>
      </w:pPr>
      <w:r w:rsidRPr="00BA52CD">
        <w:rPr>
          <w:rFonts w:ascii="Arial" w:eastAsia="Calibri" w:hAnsi="Arial" w:cs="Arial"/>
          <w:lang w:eastAsia="en-US"/>
        </w:rPr>
        <w:t xml:space="preserve">Universo: </w:t>
      </w:r>
      <w:r w:rsidR="00CB6A21" w:rsidRPr="00C055C1">
        <w:rPr>
          <w:rFonts w:ascii="Arial" w:hAnsi="Arial" w:cs="Arial"/>
        </w:rPr>
        <w:t xml:space="preserve">Será reportado </w:t>
      </w:r>
      <w:r w:rsidR="00355E7F">
        <w:rPr>
          <w:rFonts w:ascii="Arial" w:hAnsi="Arial" w:cs="Arial"/>
        </w:rPr>
        <w:t xml:space="preserve">solamente </w:t>
      </w:r>
      <w:r w:rsidR="00CB6A21" w:rsidRPr="00C055C1">
        <w:rPr>
          <w:rFonts w:ascii="Arial" w:hAnsi="Arial" w:cs="Arial"/>
        </w:rPr>
        <w:t xml:space="preserve">por los establecimientos </w:t>
      </w:r>
      <w:r w:rsidR="00355E7F">
        <w:rPr>
          <w:rFonts w:ascii="Arial" w:hAnsi="Arial" w:cs="Arial"/>
        </w:rPr>
        <w:t>de inclusión forzosa</w:t>
      </w:r>
      <w:r w:rsidR="00355E7F" w:rsidRPr="00C055C1">
        <w:rPr>
          <w:rFonts w:ascii="Arial" w:hAnsi="Arial" w:cs="Arial"/>
        </w:rPr>
        <w:t xml:space="preserve"> enclavados en el municipio que puedan respaldar la declaración de las estadísticas territoriales con el balance de comprobación de saldo u otro registro contable. Se excluyen los establecimientos de las empresas municipales.</w:t>
      </w:r>
    </w:p>
    <w:p w:rsidR="00355E7F" w:rsidRDefault="00355E7F" w:rsidP="00355E7F">
      <w:pPr>
        <w:tabs>
          <w:tab w:val="left" w:pos="1701"/>
        </w:tabs>
        <w:spacing w:after="240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establecimientos de inclusión forzosa, son aquellos definidos por la oficina </w:t>
      </w:r>
      <w:r w:rsidRPr="00C055C1">
        <w:rPr>
          <w:rFonts w:ascii="Arial" w:hAnsi="Arial" w:cs="Arial"/>
        </w:rPr>
        <w:t>central de la ONEI</w:t>
      </w:r>
      <w:r>
        <w:rPr>
          <w:rFonts w:ascii="Arial" w:hAnsi="Arial" w:cs="Arial"/>
        </w:rPr>
        <w:t xml:space="preserve"> </w:t>
      </w:r>
      <w:r w:rsidRPr="00C055C1">
        <w:rPr>
          <w:rFonts w:ascii="Arial" w:hAnsi="Arial" w:cs="Arial"/>
        </w:rPr>
        <w:t>por su importancia en la actividad económica del país o en el territorio</w:t>
      </w:r>
      <w:r>
        <w:rPr>
          <w:rFonts w:ascii="Arial" w:hAnsi="Arial" w:cs="Arial"/>
        </w:rPr>
        <w:t xml:space="preserve">. </w:t>
      </w:r>
      <w:r w:rsidRPr="00C055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Estos establecimientos </w:t>
      </w:r>
      <w:r w:rsidRPr="00C055C1">
        <w:rPr>
          <w:rFonts w:ascii="Arial" w:hAnsi="Arial" w:cs="Arial"/>
        </w:rPr>
        <w:t>deben ser objeto de especial atención en cuanto a su cobertura y calidad.</w:t>
      </w:r>
    </w:p>
    <w:p w:rsidR="00CB6A21" w:rsidRPr="00C055C1" w:rsidRDefault="00CB6A21" w:rsidP="00CB6A21">
      <w:pPr>
        <w:tabs>
          <w:tab w:val="left" w:pos="567"/>
        </w:tabs>
        <w:spacing w:after="240"/>
        <w:ind w:left="1276"/>
        <w:jc w:val="both"/>
        <w:rPr>
          <w:rFonts w:ascii="Arial" w:hAnsi="Arial" w:cs="Arial"/>
          <w:lang w:val="es-ES_tradnl"/>
        </w:rPr>
      </w:pPr>
      <w:r w:rsidRPr="00C055C1">
        <w:rPr>
          <w:rFonts w:ascii="Arial" w:hAnsi="Arial" w:cs="Arial"/>
          <w:lang w:val="es-ES_tradnl"/>
        </w:rPr>
        <w:t xml:space="preserve">Se entenderá como un </w:t>
      </w:r>
      <w:r w:rsidRPr="00C055C1">
        <w:rPr>
          <w:rFonts w:ascii="Arial" w:hAnsi="Arial" w:cs="Arial"/>
          <w:b/>
          <w:lang w:val="es-ES_tradnl"/>
        </w:rPr>
        <w:t>establecimiento</w:t>
      </w:r>
      <w:r w:rsidRPr="00C055C1">
        <w:rPr>
          <w:rFonts w:ascii="Arial" w:hAnsi="Arial" w:cs="Arial"/>
          <w:lang w:val="es-ES_tradnl"/>
        </w:rPr>
        <w:t xml:space="preserve"> 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5"/>
        </w:rPr>
        <w:t xml:space="preserve"> </w:t>
      </w:r>
      <w:r w:rsidRPr="00C055C1">
        <w:rPr>
          <w:rFonts w:ascii="Arial" w:hAnsi="Arial" w:cs="Arial"/>
        </w:rPr>
        <w:t>u</w:t>
      </w:r>
      <w:r w:rsidRPr="00C055C1">
        <w:rPr>
          <w:rFonts w:ascii="Arial" w:hAnsi="Arial" w:cs="Arial"/>
          <w:spacing w:val="-1"/>
        </w:rPr>
        <w:t>n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3"/>
        </w:rPr>
        <w:t xml:space="preserve"> </w:t>
      </w:r>
      <w:r w:rsidRPr="00C055C1">
        <w:rPr>
          <w:rFonts w:ascii="Arial" w:hAnsi="Arial" w:cs="Arial"/>
          <w:spacing w:val="2"/>
        </w:rPr>
        <w:t>p</w:t>
      </w:r>
      <w:r w:rsidRPr="00C055C1">
        <w:rPr>
          <w:rFonts w:ascii="Arial" w:hAnsi="Arial" w:cs="Arial"/>
        </w:rPr>
        <w:t>ar</w:t>
      </w:r>
      <w:r w:rsidRPr="00C055C1">
        <w:rPr>
          <w:rFonts w:ascii="Arial" w:hAnsi="Arial" w:cs="Arial"/>
          <w:spacing w:val="3"/>
        </w:rPr>
        <w:t>t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-1"/>
        </w:rPr>
        <w:t xml:space="preserve"> </w:t>
      </w:r>
      <w:r w:rsidRPr="00C055C1">
        <w:rPr>
          <w:rFonts w:ascii="Arial" w:hAnsi="Arial" w:cs="Arial"/>
          <w:spacing w:val="2"/>
        </w:rPr>
        <w:t>d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2"/>
        </w:rPr>
        <w:t xml:space="preserve"> u</w:t>
      </w:r>
      <w:r w:rsidRPr="00C055C1">
        <w:rPr>
          <w:rFonts w:ascii="Arial" w:hAnsi="Arial" w:cs="Arial"/>
        </w:rPr>
        <w:t>na</w:t>
      </w:r>
      <w:r w:rsidRPr="00C055C1">
        <w:rPr>
          <w:rFonts w:ascii="Arial" w:hAnsi="Arial" w:cs="Arial"/>
          <w:spacing w:val="3"/>
        </w:rPr>
        <w:t xml:space="preserve"> 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4"/>
        </w:rPr>
        <w:t>m</w:t>
      </w:r>
      <w:r w:rsidRPr="00C055C1">
        <w:rPr>
          <w:rFonts w:ascii="Arial" w:hAnsi="Arial" w:cs="Arial"/>
        </w:rPr>
        <w:t>pre</w:t>
      </w:r>
      <w:r w:rsidRPr="00C055C1">
        <w:rPr>
          <w:rFonts w:ascii="Arial" w:hAnsi="Arial" w:cs="Arial"/>
          <w:spacing w:val="1"/>
        </w:rPr>
        <w:t>s</w:t>
      </w:r>
      <w:r w:rsidRPr="00C055C1">
        <w:rPr>
          <w:rFonts w:ascii="Arial" w:hAnsi="Arial" w:cs="Arial"/>
          <w:spacing w:val="3"/>
        </w:rPr>
        <w:t>a</w:t>
      </w:r>
      <w:r w:rsidRPr="00C055C1">
        <w:rPr>
          <w:rFonts w:ascii="Arial" w:hAnsi="Arial" w:cs="Arial"/>
        </w:rPr>
        <w:t>,</w:t>
      </w:r>
      <w:r w:rsidRPr="00C055C1">
        <w:rPr>
          <w:rFonts w:ascii="Arial" w:hAnsi="Arial" w:cs="Arial"/>
          <w:spacing w:val="-4"/>
        </w:rPr>
        <w:t xml:space="preserve"> </w:t>
      </w:r>
      <w:r w:rsidRPr="00C055C1">
        <w:rPr>
          <w:rFonts w:ascii="Arial" w:hAnsi="Arial" w:cs="Arial"/>
          <w:spacing w:val="1"/>
        </w:rPr>
        <w:t>s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</w:rPr>
        <w:t>t</w:t>
      </w:r>
      <w:r w:rsidRPr="00C055C1">
        <w:rPr>
          <w:rFonts w:ascii="Arial" w:hAnsi="Arial" w:cs="Arial"/>
          <w:spacing w:val="2"/>
        </w:rPr>
        <w:t>u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1"/>
        </w:rPr>
        <w:t>d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2"/>
        </w:rPr>
        <w:t xml:space="preserve"> </w:t>
      </w:r>
      <w:r w:rsidRPr="00C055C1">
        <w:rPr>
          <w:rFonts w:ascii="Arial" w:hAnsi="Arial" w:cs="Arial"/>
        </w:rPr>
        <w:t>en</w:t>
      </w:r>
      <w:r w:rsidRPr="00C055C1">
        <w:rPr>
          <w:rFonts w:ascii="Arial" w:hAnsi="Arial" w:cs="Arial"/>
          <w:spacing w:val="4"/>
        </w:rPr>
        <w:t xml:space="preserve"> </w:t>
      </w:r>
      <w:r w:rsidRPr="00C055C1">
        <w:rPr>
          <w:rFonts w:ascii="Arial" w:hAnsi="Arial" w:cs="Arial"/>
        </w:rPr>
        <w:t>un</w:t>
      </w:r>
      <w:r w:rsidRPr="00C055C1">
        <w:rPr>
          <w:rFonts w:ascii="Arial" w:hAnsi="Arial" w:cs="Arial"/>
          <w:spacing w:val="4"/>
        </w:rPr>
        <w:t xml:space="preserve"> </w:t>
      </w:r>
      <w:r w:rsidRPr="00C055C1">
        <w:rPr>
          <w:rFonts w:ascii="Arial" w:hAnsi="Arial" w:cs="Arial"/>
        </w:rPr>
        <w:t>ú</w:t>
      </w:r>
      <w:r w:rsidRPr="00C055C1">
        <w:rPr>
          <w:rFonts w:ascii="Arial" w:hAnsi="Arial" w:cs="Arial"/>
          <w:spacing w:val="1"/>
        </w:rPr>
        <w:t>n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  <w:spacing w:val="1"/>
        </w:rPr>
        <w:t>c</w:t>
      </w:r>
      <w:r w:rsidRPr="00C055C1">
        <w:rPr>
          <w:rFonts w:ascii="Arial" w:hAnsi="Arial" w:cs="Arial"/>
        </w:rPr>
        <w:t>o</w:t>
      </w:r>
      <w:r w:rsidRPr="00C055C1">
        <w:rPr>
          <w:rFonts w:ascii="Arial" w:hAnsi="Arial" w:cs="Arial"/>
          <w:spacing w:val="-1"/>
        </w:rPr>
        <w:t xml:space="preserve"> 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4"/>
        </w:rPr>
        <w:t>m</w:t>
      </w:r>
      <w:r w:rsidRPr="00C055C1">
        <w:rPr>
          <w:rFonts w:ascii="Arial" w:hAnsi="Arial" w:cs="Arial"/>
        </w:rPr>
        <w:t>p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  <w:spacing w:val="2"/>
        </w:rPr>
        <w:t>a</w:t>
      </w:r>
      <w:r w:rsidRPr="00C055C1">
        <w:rPr>
          <w:rFonts w:ascii="Arial" w:hAnsi="Arial" w:cs="Arial"/>
          <w:spacing w:val="-1"/>
        </w:rPr>
        <w:t>z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4"/>
        </w:rPr>
        <w:t>m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-1"/>
        </w:rPr>
        <w:t>n</w:t>
      </w:r>
      <w:r w:rsidRPr="00C055C1">
        <w:rPr>
          <w:rFonts w:ascii="Arial" w:hAnsi="Arial" w:cs="Arial"/>
          <w:spacing w:val="2"/>
        </w:rPr>
        <w:t>t</w:t>
      </w:r>
      <w:r w:rsidRPr="00C055C1">
        <w:rPr>
          <w:rFonts w:ascii="Arial" w:hAnsi="Arial" w:cs="Arial"/>
          <w:spacing w:val="4"/>
        </w:rPr>
        <w:t>o</w:t>
      </w:r>
      <w:r w:rsidRPr="00C055C1">
        <w:rPr>
          <w:rFonts w:ascii="Arial" w:hAnsi="Arial" w:cs="Arial"/>
        </w:rPr>
        <w:t>,</w:t>
      </w:r>
      <w:r w:rsidRPr="00C055C1">
        <w:rPr>
          <w:rFonts w:ascii="Arial" w:hAnsi="Arial" w:cs="Arial"/>
          <w:spacing w:val="-10"/>
        </w:rPr>
        <w:t xml:space="preserve"> </w:t>
      </w:r>
      <w:r w:rsidRPr="00C055C1">
        <w:rPr>
          <w:rFonts w:ascii="Arial" w:hAnsi="Arial" w:cs="Arial"/>
          <w:spacing w:val="2"/>
        </w:rPr>
        <w:t>e</w:t>
      </w:r>
      <w:r w:rsidRPr="00C055C1">
        <w:rPr>
          <w:rFonts w:ascii="Arial" w:hAnsi="Arial" w:cs="Arial"/>
        </w:rPr>
        <w:t>n</w:t>
      </w:r>
      <w:r w:rsidRPr="00C055C1">
        <w:rPr>
          <w:rFonts w:ascii="Arial" w:hAnsi="Arial" w:cs="Arial"/>
          <w:spacing w:val="4"/>
        </w:rPr>
        <w:t xml:space="preserve"> </w:t>
      </w:r>
      <w:r w:rsidRPr="00C055C1">
        <w:rPr>
          <w:rFonts w:ascii="Arial" w:hAnsi="Arial" w:cs="Arial"/>
        </w:rPr>
        <w:t>el</w:t>
      </w:r>
      <w:r w:rsidRPr="00C055C1">
        <w:rPr>
          <w:rFonts w:ascii="Arial" w:hAnsi="Arial" w:cs="Arial"/>
          <w:spacing w:val="4"/>
        </w:rPr>
        <w:t xml:space="preserve"> </w:t>
      </w:r>
      <w:r w:rsidRPr="00C055C1">
        <w:rPr>
          <w:rFonts w:ascii="Arial" w:hAnsi="Arial" w:cs="Arial"/>
        </w:rPr>
        <w:t>q</w:t>
      </w:r>
      <w:r w:rsidRPr="00C055C1">
        <w:rPr>
          <w:rFonts w:ascii="Arial" w:hAnsi="Arial" w:cs="Arial"/>
          <w:spacing w:val="1"/>
        </w:rPr>
        <w:t>u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1"/>
        </w:rPr>
        <w:t xml:space="preserve"> s</w:t>
      </w:r>
      <w:r w:rsidRPr="00C055C1">
        <w:rPr>
          <w:rFonts w:ascii="Arial" w:hAnsi="Arial" w:cs="Arial"/>
          <w:spacing w:val="2"/>
        </w:rPr>
        <w:t>ó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</w:rPr>
        <w:t xml:space="preserve">o </w:t>
      </w:r>
      <w:r w:rsidRPr="00C055C1">
        <w:rPr>
          <w:rFonts w:ascii="Arial" w:hAnsi="Arial" w:cs="Arial"/>
          <w:spacing w:val="1"/>
        </w:rPr>
        <w:t>s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4"/>
        </w:rPr>
        <w:t xml:space="preserve"> </w:t>
      </w:r>
      <w:r w:rsidRPr="00C055C1">
        <w:rPr>
          <w:rFonts w:ascii="Arial" w:hAnsi="Arial" w:cs="Arial"/>
          <w:spacing w:val="1"/>
        </w:rPr>
        <w:t>r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1"/>
        </w:rPr>
        <w:t>a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  <w:spacing w:val="1"/>
        </w:rPr>
        <w:t>i</w:t>
      </w:r>
      <w:r w:rsidRPr="00C055C1">
        <w:rPr>
          <w:rFonts w:ascii="Arial" w:hAnsi="Arial" w:cs="Arial"/>
          <w:spacing w:val="-1"/>
        </w:rPr>
        <w:t>z</w:t>
      </w:r>
      <w:r w:rsidRPr="00C055C1">
        <w:rPr>
          <w:rFonts w:ascii="Arial" w:hAnsi="Arial" w:cs="Arial"/>
        </w:rPr>
        <w:t>a u</w:t>
      </w:r>
      <w:r w:rsidRPr="00C055C1">
        <w:rPr>
          <w:rFonts w:ascii="Arial" w:hAnsi="Arial" w:cs="Arial"/>
          <w:spacing w:val="1"/>
        </w:rPr>
        <w:t>n</w:t>
      </w:r>
      <w:r w:rsidRPr="00C055C1">
        <w:rPr>
          <w:rFonts w:ascii="Arial" w:hAnsi="Arial" w:cs="Arial"/>
        </w:rPr>
        <w:t>a a</w:t>
      </w:r>
      <w:r w:rsidRPr="00C055C1">
        <w:rPr>
          <w:rFonts w:ascii="Arial" w:hAnsi="Arial" w:cs="Arial"/>
          <w:spacing w:val="1"/>
        </w:rPr>
        <w:t>c</w:t>
      </w:r>
      <w:r w:rsidRPr="00C055C1">
        <w:rPr>
          <w:rFonts w:ascii="Arial" w:hAnsi="Arial" w:cs="Arial"/>
        </w:rPr>
        <w:t>t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  <w:spacing w:val="1"/>
        </w:rPr>
        <w:t>v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  <w:spacing w:val="2"/>
        </w:rPr>
        <w:t>d</w:t>
      </w:r>
      <w:r w:rsidRPr="00C055C1">
        <w:rPr>
          <w:rFonts w:ascii="Arial" w:hAnsi="Arial" w:cs="Arial"/>
        </w:rPr>
        <w:t>ad</w:t>
      </w:r>
      <w:r w:rsidRPr="00C055C1">
        <w:rPr>
          <w:rFonts w:ascii="Arial" w:hAnsi="Arial" w:cs="Arial"/>
          <w:spacing w:val="-9"/>
        </w:rPr>
        <w:t xml:space="preserve"> </w:t>
      </w:r>
      <w:r w:rsidRPr="00C055C1">
        <w:rPr>
          <w:rFonts w:ascii="Arial" w:hAnsi="Arial" w:cs="Arial"/>
        </w:rPr>
        <w:t>p</w:t>
      </w:r>
      <w:r w:rsidRPr="00C055C1">
        <w:rPr>
          <w:rFonts w:ascii="Arial" w:hAnsi="Arial" w:cs="Arial"/>
          <w:spacing w:val="3"/>
        </w:rPr>
        <w:t>r</w:t>
      </w:r>
      <w:r w:rsidRPr="00C055C1">
        <w:rPr>
          <w:rFonts w:ascii="Arial" w:hAnsi="Arial" w:cs="Arial"/>
        </w:rPr>
        <w:t>o</w:t>
      </w:r>
      <w:r w:rsidRPr="00C055C1">
        <w:rPr>
          <w:rFonts w:ascii="Arial" w:hAnsi="Arial" w:cs="Arial"/>
          <w:spacing w:val="-1"/>
        </w:rPr>
        <w:t>d</w:t>
      </w:r>
      <w:r w:rsidRPr="00C055C1">
        <w:rPr>
          <w:rFonts w:ascii="Arial" w:hAnsi="Arial" w:cs="Arial"/>
        </w:rPr>
        <w:t>u</w:t>
      </w:r>
      <w:r w:rsidRPr="00C055C1">
        <w:rPr>
          <w:rFonts w:ascii="Arial" w:hAnsi="Arial" w:cs="Arial"/>
          <w:spacing w:val="1"/>
        </w:rPr>
        <w:t>c</w:t>
      </w:r>
      <w:r w:rsidRPr="00C055C1">
        <w:rPr>
          <w:rFonts w:ascii="Arial" w:hAnsi="Arial" w:cs="Arial"/>
          <w:spacing w:val="2"/>
        </w:rPr>
        <w:t>t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  <w:spacing w:val="1"/>
        </w:rPr>
        <w:t>v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9"/>
        </w:rPr>
        <w:t xml:space="preserve"> </w:t>
      </w:r>
      <w:r w:rsidRPr="00C055C1">
        <w:rPr>
          <w:rFonts w:ascii="Arial" w:hAnsi="Arial" w:cs="Arial"/>
        </w:rPr>
        <w:t>o en</w:t>
      </w:r>
      <w:r w:rsidRPr="00C055C1">
        <w:rPr>
          <w:rFonts w:ascii="Arial" w:hAnsi="Arial" w:cs="Arial"/>
          <w:spacing w:val="-3"/>
        </w:rPr>
        <w:t xml:space="preserve"> </w:t>
      </w:r>
      <w:r w:rsidRPr="00C055C1">
        <w:rPr>
          <w:rFonts w:ascii="Arial" w:hAnsi="Arial" w:cs="Arial"/>
          <w:spacing w:val="2"/>
        </w:rPr>
        <w:t>e</w:t>
      </w:r>
      <w:r w:rsidRPr="00C055C1">
        <w:rPr>
          <w:rFonts w:ascii="Arial" w:hAnsi="Arial" w:cs="Arial"/>
        </w:rPr>
        <w:t>l</w:t>
      </w:r>
      <w:r w:rsidRPr="00C055C1">
        <w:rPr>
          <w:rFonts w:ascii="Arial" w:hAnsi="Arial" w:cs="Arial"/>
          <w:spacing w:val="-1"/>
        </w:rPr>
        <w:t xml:space="preserve"> </w:t>
      </w:r>
      <w:r w:rsidRPr="00C055C1">
        <w:rPr>
          <w:rFonts w:ascii="Arial" w:hAnsi="Arial" w:cs="Arial"/>
        </w:rPr>
        <w:t>q</w:t>
      </w:r>
      <w:r w:rsidRPr="00C055C1">
        <w:rPr>
          <w:rFonts w:ascii="Arial" w:hAnsi="Arial" w:cs="Arial"/>
          <w:spacing w:val="-1"/>
        </w:rPr>
        <w:t>u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-2"/>
        </w:rPr>
        <w:t xml:space="preserve"> 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1"/>
        </w:rPr>
        <w:t xml:space="preserve"> 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1"/>
        </w:rPr>
        <w:t>c</w:t>
      </w:r>
      <w:r w:rsidRPr="00C055C1">
        <w:rPr>
          <w:rFonts w:ascii="Arial" w:hAnsi="Arial" w:cs="Arial"/>
        </w:rPr>
        <w:t>t</w:t>
      </w:r>
      <w:r w:rsidRPr="00C055C1">
        <w:rPr>
          <w:rFonts w:ascii="Arial" w:hAnsi="Arial" w:cs="Arial"/>
          <w:spacing w:val="1"/>
        </w:rPr>
        <w:t>i</w:t>
      </w:r>
      <w:r w:rsidRPr="00C055C1">
        <w:rPr>
          <w:rFonts w:ascii="Arial" w:hAnsi="Arial" w:cs="Arial"/>
          <w:spacing w:val="-1"/>
        </w:rPr>
        <w:t>v</w:t>
      </w:r>
      <w:r w:rsidRPr="00C055C1">
        <w:rPr>
          <w:rFonts w:ascii="Arial" w:hAnsi="Arial" w:cs="Arial"/>
          <w:spacing w:val="1"/>
        </w:rPr>
        <w:t>i</w:t>
      </w:r>
      <w:r w:rsidRPr="00C055C1">
        <w:rPr>
          <w:rFonts w:ascii="Arial" w:hAnsi="Arial" w:cs="Arial"/>
        </w:rPr>
        <w:t>d</w:t>
      </w:r>
      <w:r w:rsidRPr="00C055C1">
        <w:rPr>
          <w:rFonts w:ascii="Arial" w:hAnsi="Arial" w:cs="Arial"/>
          <w:spacing w:val="-1"/>
        </w:rPr>
        <w:t>a</w:t>
      </w:r>
      <w:r w:rsidRPr="00C055C1">
        <w:rPr>
          <w:rFonts w:ascii="Arial" w:hAnsi="Arial" w:cs="Arial"/>
        </w:rPr>
        <w:t>d</w:t>
      </w:r>
      <w:r w:rsidRPr="00C055C1">
        <w:rPr>
          <w:rFonts w:ascii="Arial" w:hAnsi="Arial" w:cs="Arial"/>
          <w:spacing w:val="-7"/>
        </w:rPr>
        <w:t xml:space="preserve"> </w:t>
      </w:r>
      <w:r w:rsidRPr="00C055C1">
        <w:rPr>
          <w:rFonts w:ascii="Arial" w:hAnsi="Arial" w:cs="Arial"/>
        </w:rPr>
        <w:t>pro</w:t>
      </w:r>
      <w:r w:rsidRPr="00C055C1">
        <w:rPr>
          <w:rFonts w:ascii="Arial" w:hAnsi="Arial" w:cs="Arial"/>
          <w:spacing w:val="2"/>
        </w:rPr>
        <w:t>d</w:t>
      </w:r>
      <w:r w:rsidRPr="00C055C1">
        <w:rPr>
          <w:rFonts w:ascii="Arial" w:hAnsi="Arial" w:cs="Arial"/>
        </w:rPr>
        <w:t>u</w:t>
      </w:r>
      <w:r w:rsidRPr="00C055C1">
        <w:rPr>
          <w:rFonts w:ascii="Arial" w:hAnsi="Arial" w:cs="Arial"/>
          <w:spacing w:val="1"/>
        </w:rPr>
        <w:t>c</w:t>
      </w:r>
      <w:r w:rsidRPr="00C055C1">
        <w:rPr>
          <w:rFonts w:ascii="Arial" w:hAnsi="Arial" w:cs="Arial"/>
        </w:rPr>
        <w:t>t</w:t>
      </w:r>
      <w:r w:rsidRPr="00C055C1">
        <w:rPr>
          <w:rFonts w:ascii="Arial" w:hAnsi="Arial" w:cs="Arial"/>
          <w:spacing w:val="1"/>
        </w:rPr>
        <w:t>i</w:t>
      </w:r>
      <w:r w:rsidRPr="00C055C1">
        <w:rPr>
          <w:rFonts w:ascii="Arial" w:hAnsi="Arial" w:cs="Arial"/>
          <w:spacing w:val="-1"/>
        </w:rPr>
        <w:t>v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7"/>
        </w:rPr>
        <w:t xml:space="preserve"> </w:t>
      </w:r>
      <w:r w:rsidRPr="00C055C1">
        <w:rPr>
          <w:rFonts w:ascii="Arial" w:hAnsi="Arial" w:cs="Arial"/>
        </w:rPr>
        <w:t>pr</w:t>
      </w:r>
      <w:r w:rsidRPr="00C055C1">
        <w:rPr>
          <w:rFonts w:ascii="Arial" w:hAnsi="Arial" w:cs="Arial"/>
          <w:spacing w:val="-1"/>
        </w:rPr>
        <w:t>i</w:t>
      </w:r>
      <w:r w:rsidRPr="00C055C1">
        <w:rPr>
          <w:rFonts w:ascii="Arial" w:hAnsi="Arial" w:cs="Arial"/>
        </w:rPr>
        <w:t>n</w:t>
      </w:r>
      <w:r w:rsidRPr="00C055C1">
        <w:rPr>
          <w:rFonts w:ascii="Arial" w:hAnsi="Arial" w:cs="Arial"/>
          <w:spacing w:val="1"/>
        </w:rPr>
        <w:t>ci</w:t>
      </w:r>
      <w:r w:rsidRPr="00C055C1">
        <w:rPr>
          <w:rFonts w:ascii="Arial" w:hAnsi="Arial" w:cs="Arial"/>
        </w:rPr>
        <w:t>p</w:t>
      </w:r>
      <w:r w:rsidRPr="00C055C1">
        <w:rPr>
          <w:rFonts w:ascii="Arial" w:hAnsi="Arial" w:cs="Arial"/>
          <w:spacing w:val="1"/>
        </w:rPr>
        <w:t>a</w:t>
      </w:r>
      <w:r w:rsidRPr="00C055C1">
        <w:rPr>
          <w:rFonts w:ascii="Arial" w:hAnsi="Arial" w:cs="Arial"/>
        </w:rPr>
        <w:t>l</w:t>
      </w:r>
      <w:r w:rsidRPr="00C055C1">
        <w:rPr>
          <w:rFonts w:ascii="Arial" w:hAnsi="Arial" w:cs="Arial"/>
          <w:spacing w:val="-8"/>
        </w:rPr>
        <w:t xml:space="preserve"> </w:t>
      </w:r>
      <w:r w:rsidRPr="00C055C1">
        <w:rPr>
          <w:rFonts w:ascii="Arial" w:hAnsi="Arial" w:cs="Arial"/>
        </w:rPr>
        <w:t>re</w:t>
      </w:r>
      <w:r w:rsidRPr="00C055C1">
        <w:rPr>
          <w:rFonts w:ascii="Arial" w:hAnsi="Arial" w:cs="Arial"/>
          <w:spacing w:val="-1"/>
        </w:rPr>
        <w:t>p</w:t>
      </w:r>
      <w:r w:rsidRPr="00C055C1">
        <w:rPr>
          <w:rFonts w:ascii="Arial" w:hAnsi="Arial" w:cs="Arial"/>
          <w:spacing w:val="1"/>
        </w:rPr>
        <w:t>r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1"/>
        </w:rPr>
        <w:t>s</w:t>
      </w:r>
      <w:r w:rsidRPr="00C055C1">
        <w:rPr>
          <w:rFonts w:ascii="Arial" w:hAnsi="Arial" w:cs="Arial"/>
          <w:spacing w:val="2"/>
        </w:rPr>
        <w:t>e</w:t>
      </w:r>
      <w:r w:rsidRPr="00C055C1">
        <w:rPr>
          <w:rFonts w:ascii="Arial" w:hAnsi="Arial" w:cs="Arial"/>
        </w:rPr>
        <w:t>nta</w:t>
      </w:r>
      <w:r w:rsidRPr="00C055C1">
        <w:rPr>
          <w:rFonts w:ascii="Arial" w:hAnsi="Arial" w:cs="Arial"/>
          <w:spacing w:val="-9"/>
        </w:rPr>
        <w:t xml:space="preserve"> 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2"/>
        </w:rPr>
        <w:t xml:space="preserve"> </w:t>
      </w:r>
      <w:r w:rsidRPr="00C055C1">
        <w:rPr>
          <w:rFonts w:ascii="Arial" w:hAnsi="Arial" w:cs="Arial"/>
          <w:spacing w:val="4"/>
        </w:rPr>
        <w:t>m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4"/>
        </w:rPr>
        <w:t>y</w:t>
      </w:r>
      <w:r w:rsidRPr="00C055C1">
        <w:rPr>
          <w:rFonts w:ascii="Arial" w:hAnsi="Arial" w:cs="Arial"/>
          <w:spacing w:val="2"/>
        </w:rPr>
        <w:t>o</w:t>
      </w:r>
      <w:r w:rsidRPr="00C055C1">
        <w:rPr>
          <w:rFonts w:ascii="Arial" w:hAnsi="Arial" w:cs="Arial"/>
        </w:rPr>
        <w:t>r</w:t>
      </w:r>
      <w:r w:rsidRPr="00C055C1">
        <w:rPr>
          <w:rFonts w:ascii="Arial" w:hAnsi="Arial" w:cs="Arial"/>
          <w:spacing w:val="3"/>
        </w:rPr>
        <w:t xml:space="preserve"> </w:t>
      </w:r>
      <w:r w:rsidRPr="00C055C1">
        <w:rPr>
          <w:rFonts w:ascii="Arial" w:hAnsi="Arial" w:cs="Arial"/>
          <w:spacing w:val="2"/>
        </w:rPr>
        <w:t>p</w:t>
      </w:r>
      <w:r w:rsidRPr="00C055C1">
        <w:rPr>
          <w:rFonts w:ascii="Arial" w:hAnsi="Arial" w:cs="Arial"/>
        </w:rPr>
        <w:t>arte</w:t>
      </w:r>
      <w:r w:rsidRPr="00C055C1">
        <w:rPr>
          <w:rFonts w:ascii="Arial" w:hAnsi="Arial" w:cs="Arial"/>
          <w:spacing w:val="-5"/>
        </w:rPr>
        <w:t xml:space="preserve"> </w:t>
      </w:r>
      <w:r w:rsidRPr="00C055C1">
        <w:rPr>
          <w:rFonts w:ascii="Arial" w:hAnsi="Arial" w:cs="Arial"/>
          <w:spacing w:val="2"/>
        </w:rPr>
        <w:t>d</w:t>
      </w:r>
      <w:r w:rsidRPr="00C055C1">
        <w:rPr>
          <w:rFonts w:ascii="Arial" w:hAnsi="Arial" w:cs="Arial"/>
        </w:rPr>
        <w:t>el</w:t>
      </w:r>
      <w:r w:rsidRPr="00C055C1">
        <w:rPr>
          <w:rFonts w:ascii="Arial" w:hAnsi="Arial" w:cs="Arial"/>
          <w:spacing w:val="-3"/>
        </w:rPr>
        <w:t xml:space="preserve"> </w:t>
      </w:r>
      <w:r w:rsidRPr="00C055C1">
        <w:rPr>
          <w:rFonts w:ascii="Arial" w:hAnsi="Arial" w:cs="Arial"/>
          <w:spacing w:val="-1"/>
        </w:rPr>
        <w:t>v</w:t>
      </w:r>
      <w:r w:rsidRPr="00C055C1">
        <w:rPr>
          <w:rFonts w:ascii="Arial" w:hAnsi="Arial" w:cs="Arial"/>
          <w:spacing w:val="2"/>
        </w:rPr>
        <w:t>a</w:t>
      </w:r>
      <w:r w:rsidRPr="00C055C1">
        <w:rPr>
          <w:rFonts w:ascii="Arial" w:hAnsi="Arial" w:cs="Arial"/>
          <w:spacing w:val="-1"/>
        </w:rPr>
        <w:t>l</w:t>
      </w:r>
      <w:r w:rsidRPr="00C055C1">
        <w:rPr>
          <w:rFonts w:ascii="Arial" w:hAnsi="Arial" w:cs="Arial"/>
        </w:rPr>
        <w:t>or</w:t>
      </w:r>
      <w:r w:rsidRPr="00C055C1">
        <w:rPr>
          <w:rFonts w:ascii="Arial" w:hAnsi="Arial" w:cs="Arial"/>
          <w:spacing w:val="-2"/>
        </w:rPr>
        <w:t xml:space="preserve"> 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-1"/>
        </w:rPr>
        <w:t>g</w:t>
      </w:r>
      <w:r w:rsidRPr="00C055C1">
        <w:rPr>
          <w:rFonts w:ascii="Arial" w:hAnsi="Arial" w:cs="Arial"/>
          <w:spacing w:val="1"/>
        </w:rPr>
        <w:t>r</w:t>
      </w:r>
      <w:r w:rsidRPr="00C055C1">
        <w:rPr>
          <w:rFonts w:ascii="Arial" w:hAnsi="Arial" w:cs="Arial"/>
        </w:rPr>
        <w:t>e</w:t>
      </w:r>
      <w:r w:rsidRPr="00C055C1">
        <w:rPr>
          <w:rFonts w:ascii="Arial" w:hAnsi="Arial" w:cs="Arial"/>
          <w:spacing w:val="1"/>
        </w:rPr>
        <w:t>g</w:t>
      </w:r>
      <w:r w:rsidRPr="00C055C1">
        <w:rPr>
          <w:rFonts w:ascii="Arial" w:hAnsi="Arial" w:cs="Arial"/>
        </w:rPr>
        <w:t>a</w:t>
      </w:r>
      <w:r w:rsidRPr="00C055C1">
        <w:rPr>
          <w:rFonts w:ascii="Arial" w:hAnsi="Arial" w:cs="Arial"/>
          <w:spacing w:val="1"/>
        </w:rPr>
        <w:t>d</w:t>
      </w:r>
      <w:r w:rsidRPr="00C055C1">
        <w:rPr>
          <w:rFonts w:ascii="Arial" w:hAnsi="Arial" w:cs="Arial"/>
        </w:rPr>
        <w:t>o.</w:t>
      </w:r>
    </w:p>
    <w:p w:rsidR="00EA0540" w:rsidRPr="00BA52CD" w:rsidRDefault="00EA0540" w:rsidP="00B17FDB">
      <w:pPr>
        <w:tabs>
          <w:tab w:val="left" w:pos="284"/>
          <w:tab w:val="left" w:pos="1800"/>
        </w:tabs>
        <w:spacing w:after="240" w:line="240" w:lineRule="auto"/>
        <w:ind w:left="1276" w:hanging="1276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Periodicidad: Anual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III. INSTRUCCIONES GENERALES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A este formulario le es </w:t>
      </w:r>
      <w:r w:rsidR="0033045A">
        <w:rPr>
          <w:rFonts w:ascii="Arial" w:eastAsia="Calibri" w:hAnsi="Arial" w:cs="Arial"/>
          <w:lang w:eastAsia="en-US"/>
        </w:rPr>
        <w:t>aplicable la Instrucción G</w:t>
      </w:r>
      <w:r w:rsidRPr="00BA52CD">
        <w:rPr>
          <w:rFonts w:ascii="Arial" w:eastAsia="Calibri" w:hAnsi="Arial" w:cs="Arial"/>
          <w:lang w:eastAsia="en-US"/>
        </w:rPr>
        <w:t>eneral No. 1.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IV. DEFINICIONES METODOLÓGICAS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b/>
          <w:u w:val="single"/>
          <w:lang w:eastAsia="en-US"/>
        </w:rPr>
        <w:t>Por columnas</w:t>
      </w:r>
      <w:r w:rsidRPr="00BA52CD">
        <w:rPr>
          <w:rFonts w:ascii="Arial" w:eastAsia="Calibri" w:hAnsi="Arial" w:cs="Arial"/>
          <w:u w:val="single"/>
          <w:lang w:eastAsia="en-US"/>
        </w:rPr>
        <w:t xml:space="preserve">: 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Productos insumidos (columna A)</w:t>
      </w:r>
    </w:p>
    <w:p w:rsidR="004C2DFB" w:rsidRPr="00BA52CD" w:rsidRDefault="00EA0540" w:rsidP="008A707D">
      <w:pPr>
        <w:spacing w:after="240" w:line="240" w:lineRule="auto"/>
        <w:jc w:val="both"/>
      </w:pPr>
      <w:r w:rsidRPr="00BA52CD">
        <w:rPr>
          <w:rFonts w:ascii="Arial" w:eastAsia="Calibri" w:hAnsi="Arial" w:cs="Arial"/>
          <w:lang w:eastAsia="en-US"/>
        </w:rPr>
        <w:t xml:space="preserve">Se </w:t>
      </w:r>
      <w:r w:rsidR="004C2DFB" w:rsidRPr="00BA52CD">
        <w:rPr>
          <w:rFonts w:ascii="Arial" w:eastAsia="Calibri" w:hAnsi="Arial" w:cs="Arial"/>
          <w:lang w:eastAsia="en-US"/>
        </w:rPr>
        <w:t>registran</w:t>
      </w:r>
      <w:r w:rsidRPr="00BA52CD">
        <w:rPr>
          <w:rFonts w:ascii="Arial" w:eastAsia="Calibri" w:hAnsi="Arial" w:cs="Arial"/>
          <w:lang w:eastAsia="en-US"/>
        </w:rPr>
        <w:t xml:space="preserve"> en las filas en blanco </w:t>
      </w:r>
      <w:r w:rsidR="004C2DFB" w:rsidRPr="00BA52CD">
        <w:rPr>
          <w:rFonts w:ascii="Arial" w:eastAsia="Calibri" w:hAnsi="Arial" w:cs="Arial"/>
          <w:lang w:eastAsia="en-US"/>
        </w:rPr>
        <w:t>los bienes y servicios utilizados durante el proceso de producción, ya sean productos adquiridos en el período o retirados del almacén según corresponda, de acuerdo a la nomenclatura</w:t>
      </w:r>
      <w:r w:rsidR="001077B2">
        <w:rPr>
          <w:rFonts w:ascii="Arial" w:eastAsia="Calibri" w:hAnsi="Arial" w:cs="Arial"/>
          <w:lang w:eastAsia="en-US"/>
        </w:rPr>
        <w:t xml:space="preserve"> que se adjunta</w:t>
      </w:r>
      <w:r w:rsidR="00893673">
        <w:rPr>
          <w:rFonts w:ascii="Arial" w:eastAsia="Calibri" w:hAnsi="Arial" w:cs="Arial"/>
          <w:lang w:eastAsia="en-US"/>
        </w:rPr>
        <w:t>.</w:t>
      </w:r>
      <w:r w:rsidR="004C2DFB" w:rsidRPr="00BA52CD">
        <w:t xml:space="preserve"> </w:t>
      </w:r>
    </w:p>
    <w:p w:rsidR="00EA0540" w:rsidRPr="00BA52CD" w:rsidRDefault="004C2DFB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Se incluyen los bienes producidos para autoconsumo y se excluyen los activos fijos cuyo consumo se registra como consumo de capital fijo.</w:t>
      </w:r>
    </w:p>
    <w:p w:rsidR="007154CA" w:rsidRDefault="007154CA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bookmarkStart w:id="0" w:name="_GoBack"/>
      <w:bookmarkEnd w:id="0"/>
      <w:r w:rsidRPr="00BA52CD">
        <w:rPr>
          <w:rFonts w:ascii="Arial" w:eastAsia="Calibri" w:hAnsi="Arial" w:cs="Arial"/>
          <w:u w:val="single"/>
          <w:lang w:eastAsia="en-US"/>
        </w:rPr>
        <w:lastRenderedPageBreak/>
        <w:t>Código (columna B)</w:t>
      </w:r>
    </w:p>
    <w:p w:rsidR="00F652E7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Se inscribe el código que corresponda a cada </w:t>
      </w:r>
      <w:r w:rsidR="00F652E7">
        <w:rPr>
          <w:rFonts w:ascii="Arial" w:eastAsia="Calibri" w:hAnsi="Arial" w:cs="Arial"/>
          <w:lang w:eastAsia="en-US"/>
        </w:rPr>
        <w:t>producto, según la nomenclatura.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Unidad de medida (columna C)</w:t>
      </w:r>
    </w:p>
    <w:p w:rsidR="00BA52CD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Se inscribe la unidad de medida asociada a cada producto según la nomenclatura que aparece al final del último apartado. </w:t>
      </w:r>
      <w:r w:rsidR="00BA52CD" w:rsidRPr="00BA52CD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</w:t>
      </w:r>
      <w:r w:rsidR="00BA52CD" w:rsidRPr="00BA52CD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Cantidad (columna 1)</w:t>
      </w:r>
    </w:p>
    <w:p w:rsidR="00EA0540" w:rsidRPr="00BA52CD" w:rsidRDefault="00463104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bookmarkStart w:id="1" w:name="OLE_LINK4"/>
      <w:bookmarkStart w:id="2" w:name="OLE_LINK5"/>
      <w:r>
        <w:rPr>
          <w:rFonts w:ascii="Arial" w:eastAsia="Calibri" w:hAnsi="Arial" w:cs="Arial"/>
          <w:lang w:eastAsia="en-US"/>
        </w:rPr>
        <w:t>Se informa la cantidad</w:t>
      </w:r>
      <w:r w:rsidR="00EA0540" w:rsidRPr="00BA52CD">
        <w:rPr>
          <w:rFonts w:ascii="Arial" w:eastAsia="Calibri" w:hAnsi="Arial" w:cs="Arial"/>
          <w:lang w:eastAsia="en-US"/>
        </w:rPr>
        <w:t xml:space="preserve"> del producto insumido. </w:t>
      </w:r>
      <w:bookmarkEnd w:id="1"/>
      <w:bookmarkEnd w:id="2"/>
      <w:r w:rsidR="00EA0540" w:rsidRPr="00BA52CD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nomenclador.</w:t>
      </w:r>
      <w:r w:rsidR="00BA52CD" w:rsidRPr="00BA52CD">
        <w:rPr>
          <w:rFonts w:ascii="Arial" w:eastAsia="Calibri" w:hAnsi="Arial" w:cs="Arial"/>
          <w:lang w:eastAsia="en-US"/>
        </w:rPr>
        <w:t xml:space="preserve"> La cantidad se reporta con dos decimales.</w:t>
      </w:r>
    </w:p>
    <w:p w:rsidR="00EA0540" w:rsidRPr="00BA52CD" w:rsidRDefault="00EA0540" w:rsidP="008A707D">
      <w:pPr>
        <w:tabs>
          <w:tab w:val="left" w:pos="1728"/>
          <w:tab w:val="left" w:pos="1800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 </w:t>
      </w:r>
      <w:r w:rsidRPr="00BA52CD">
        <w:rPr>
          <w:rFonts w:ascii="Arial" w:eastAsia="Calibri" w:hAnsi="Arial" w:cs="Arial"/>
          <w:u w:val="single"/>
          <w:lang w:eastAsia="en-US"/>
        </w:rPr>
        <w:t>Valor (columna 2)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Se informa el valor del producto insumido </w:t>
      </w:r>
      <w:r w:rsidRPr="00BA52CD">
        <w:rPr>
          <w:rFonts w:ascii="Arial" w:hAnsi="Arial" w:cs="Arial"/>
        </w:rPr>
        <w:t>en pesos (P) con dos decimales</w:t>
      </w:r>
      <w:r w:rsidRPr="00BA52CD">
        <w:rPr>
          <w:rFonts w:ascii="Arial" w:eastAsia="Calibri" w:hAnsi="Arial" w:cs="Arial"/>
          <w:lang w:eastAsia="en-US"/>
        </w:rPr>
        <w:t>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V. NOMENCLATURA DE PRODUCTOS</w:t>
      </w:r>
    </w:p>
    <w:p w:rsidR="00BA52CD" w:rsidRPr="00BA52CD" w:rsidRDefault="00463104" w:rsidP="00BA52CD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A52CD" w:rsidRPr="00BA52CD">
        <w:rPr>
          <w:rFonts w:ascii="Arial" w:hAnsi="Arial" w:cs="Arial"/>
        </w:rPr>
        <w:t xml:space="preserve">e conforma a partir del Clasificador de </w:t>
      </w:r>
      <w:r w:rsidR="00BA52CD">
        <w:rPr>
          <w:rFonts w:ascii="Arial" w:hAnsi="Arial" w:cs="Arial"/>
        </w:rPr>
        <w:t>P</w:t>
      </w:r>
      <w:r w:rsidR="00BA52CD" w:rsidRPr="00BA52CD">
        <w:rPr>
          <w:rFonts w:ascii="Arial" w:hAnsi="Arial" w:cs="Arial"/>
        </w:rPr>
        <w:t>roductos de Cuba (CPCU)</w:t>
      </w:r>
      <w:r w:rsidR="00BA52CD">
        <w:rPr>
          <w:rFonts w:ascii="Arial" w:hAnsi="Arial" w:cs="Arial"/>
        </w:rPr>
        <w:t>,</w:t>
      </w:r>
      <w:r w:rsidR="00BA52CD" w:rsidRPr="00BA52CD">
        <w:rPr>
          <w:rFonts w:ascii="Arial" w:hAnsi="Arial" w:cs="Arial"/>
        </w:rPr>
        <w:t xml:space="preserve"> versión 2.0</w:t>
      </w:r>
      <w:r>
        <w:rPr>
          <w:rFonts w:ascii="Arial" w:hAnsi="Arial" w:cs="Arial"/>
        </w:rPr>
        <w:t>,</w:t>
      </w:r>
      <w:r w:rsidRPr="0046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BA52CD">
        <w:rPr>
          <w:rFonts w:ascii="Arial" w:hAnsi="Arial" w:cs="Arial"/>
        </w:rPr>
        <w:t>e detalla en documento aparte</w:t>
      </w:r>
      <w:r>
        <w:rPr>
          <w:rFonts w:ascii="Arial" w:hAnsi="Arial" w:cs="Arial"/>
        </w:rPr>
        <w:t>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VI. REVISIÓN LÓGICA Y ARITMÉTICA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No procede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VII. ACLARACIONES</w:t>
      </w:r>
    </w:p>
    <w:p w:rsidR="00EA0540" w:rsidRPr="00BA52CD" w:rsidRDefault="00EA0540" w:rsidP="008A707D">
      <w:pPr>
        <w:numPr>
          <w:ilvl w:val="0"/>
          <w:numId w:val="6"/>
        </w:numPr>
        <w:tabs>
          <w:tab w:val="left" w:pos="1800"/>
        </w:tabs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eastAsia="Calibri" w:hAnsi="Arial" w:cs="Arial"/>
        </w:rPr>
        <w:t>Todos los valores se registran en CUP</w:t>
      </w:r>
      <w:r w:rsidR="00463104">
        <w:rPr>
          <w:rFonts w:ascii="Arial" w:eastAsia="Calibri" w:hAnsi="Arial" w:cs="Arial"/>
        </w:rPr>
        <w:t>,</w:t>
      </w:r>
      <w:r w:rsidRPr="00BA52CD">
        <w:rPr>
          <w:rFonts w:ascii="Arial" w:eastAsia="Calibri" w:hAnsi="Arial" w:cs="Arial"/>
        </w:rPr>
        <w:t xml:space="preserve"> empleando para la conversión la tasa de cambio oficial (CUP x CUC). </w:t>
      </w:r>
    </w:p>
    <w:p w:rsidR="00EA0540" w:rsidRPr="00BA52CD" w:rsidRDefault="00EA0540" w:rsidP="008A707D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hAnsi="Arial" w:cs="Arial"/>
          <w:lang w:eastAsia="en-US"/>
        </w:rPr>
        <w:t xml:space="preserve">Las producciones que realiza </w:t>
      </w:r>
      <w:r w:rsidR="001077B2">
        <w:rPr>
          <w:rFonts w:ascii="Arial" w:hAnsi="Arial" w:cs="Arial"/>
          <w:lang w:eastAsia="en-US"/>
        </w:rPr>
        <w:t>el establecimiento</w:t>
      </w:r>
      <w:r w:rsidRPr="00BA52CD">
        <w:rPr>
          <w:rFonts w:ascii="Arial" w:hAnsi="Arial" w:cs="Arial"/>
          <w:lang w:eastAsia="en-US"/>
        </w:rPr>
        <w:t xml:space="preserve"> para su auto insumo se valoran por la suma de los costos de las materias primas</w:t>
      </w:r>
      <w:r w:rsidR="00775D51">
        <w:rPr>
          <w:rFonts w:ascii="Arial" w:hAnsi="Arial" w:cs="Arial"/>
          <w:lang w:eastAsia="en-US"/>
        </w:rPr>
        <w:t>,</w:t>
      </w:r>
      <w:r w:rsidRPr="00BA52CD">
        <w:rPr>
          <w:rFonts w:ascii="Arial" w:hAnsi="Arial" w:cs="Arial"/>
          <w:lang w:eastAsia="en-US"/>
        </w:rPr>
        <w:t xml:space="preserve"> materiales, combustibles, lubricantes y energía, utilizados durante el proceso de producción. </w:t>
      </w:r>
    </w:p>
    <w:p w:rsidR="004347D2" w:rsidRDefault="001A21EC" w:rsidP="0081286A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A23D23">
        <w:rPr>
          <w:rFonts w:ascii="Arial" w:hAnsi="Arial" w:cs="Arial"/>
          <w:lang w:eastAsia="en-US"/>
        </w:rPr>
        <w:t>El valor del consumo intermedio de los productos comprados a terceros se valora</w:t>
      </w:r>
      <w:r w:rsidR="00EA0540" w:rsidRPr="00A23D23">
        <w:rPr>
          <w:rFonts w:ascii="Arial" w:hAnsi="Arial" w:cs="Arial"/>
          <w:lang w:eastAsia="en-US"/>
        </w:rPr>
        <w:t xml:space="preserve"> a</w:t>
      </w:r>
      <w:r w:rsidR="00ED7A5D" w:rsidRPr="00A23D23">
        <w:rPr>
          <w:rFonts w:ascii="Arial" w:hAnsi="Arial" w:cs="Arial"/>
          <w:lang w:eastAsia="en-US"/>
        </w:rPr>
        <w:t xml:space="preserve"> los</w:t>
      </w:r>
      <w:r w:rsidR="00EA0540" w:rsidRPr="00A23D23">
        <w:rPr>
          <w:rFonts w:ascii="Arial" w:hAnsi="Arial" w:cs="Arial"/>
          <w:lang w:eastAsia="en-US"/>
        </w:rPr>
        <w:t xml:space="preserve"> precios </w:t>
      </w:r>
      <w:r w:rsidR="00ED7A5D" w:rsidRPr="00A23D23">
        <w:rPr>
          <w:rFonts w:ascii="Arial" w:hAnsi="Arial" w:cs="Arial"/>
          <w:lang w:eastAsia="en-US"/>
        </w:rPr>
        <w:t>a los que se compran</w:t>
      </w:r>
      <w:r w:rsidR="00EA0540" w:rsidRPr="00A23D23">
        <w:rPr>
          <w:rFonts w:ascii="Arial" w:hAnsi="Arial" w:cs="Arial"/>
          <w:lang w:eastAsia="en-US"/>
        </w:rPr>
        <w:t>.</w:t>
      </w:r>
    </w:p>
    <w:p w:rsidR="00775D51" w:rsidRPr="00A23D23" w:rsidRDefault="00775D51" w:rsidP="0081286A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La sumatoria del valor de los productos reportados como insumos (utilizados), debe coincidir con el total de gastos de materias primas y materiales, combustibles y lubricantes, energía y otros gastos monetarios consumidos durante el período </w:t>
      </w:r>
      <w:r w:rsidR="00765D02">
        <w:rPr>
          <w:rFonts w:ascii="Arial" w:hAnsi="Arial" w:cs="Arial"/>
          <w:lang w:eastAsia="en-US"/>
        </w:rPr>
        <w:t>en la</w:t>
      </w:r>
      <w:r>
        <w:rPr>
          <w:rFonts w:ascii="Arial" w:hAnsi="Arial" w:cs="Arial"/>
          <w:lang w:eastAsia="en-US"/>
        </w:rPr>
        <w:t xml:space="preserve"> producción</w:t>
      </w:r>
      <w:r w:rsidR="00765D02">
        <w:rPr>
          <w:rFonts w:ascii="Arial" w:hAnsi="Arial" w:cs="Arial"/>
          <w:lang w:eastAsia="en-US"/>
        </w:rPr>
        <w:t>.</w:t>
      </w:r>
      <w:r>
        <w:rPr>
          <w:rFonts w:ascii="Arial" w:hAnsi="Arial" w:cs="Arial"/>
          <w:lang w:eastAsia="en-US"/>
        </w:rPr>
        <w:t xml:space="preserve"> </w:t>
      </w:r>
    </w:p>
    <w:sectPr w:rsidR="00775D51" w:rsidRPr="00A23D23" w:rsidSect="00773E28">
      <w:footerReference w:type="default" r:id="rId9"/>
      <w:type w:val="continuous"/>
      <w:pgSz w:w="12240" w:h="15840" w:code="1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2A" w:rsidRDefault="0063312A" w:rsidP="0026337E">
      <w:pPr>
        <w:spacing w:after="0" w:line="240" w:lineRule="auto"/>
      </w:pPr>
      <w:r>
        <w:separator/>
      </w:r>
    </w:p>
  </w:endnote>
  <w:end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504320"/>
      <w:docPartObj>
        <w:docPartGallery w:val="Page Numbers (Bottom of Page)"/>
        <w:docPartUnique/>
      </w:docPartObj>
    </w:sdtPr>
    <w:sdtEndPr/>
    <w:sdtContent>
      <w:p w:rsidR="0026337E" w:rsidRDefault="00F5071E">
        <w:pPr>
          <w:pStyle w:val="Piedepgina"/>
          <w:jc w:val="right"/>
        </w:pPr>
        <w:r>
          <w:fldChar w:fldCharType="begin"/>
        </w:r>
        <w:r w:rsidR="0026337E">
          <w:instrText>PAGE   \* MERGEFORMAT</w:instrText>
        </w:r>
        <w:r>
          <w:fldChar w:fldCharType="separate"/>
        </w:r>
        <w:r w:rsidR="007154CA">
          <w:rPr>
            <w:noProof/>
          </w:rPr>
          <w:t>2</w:t>
        </w:r>
        <w:r>
          <w:fldChar w:fldCharType="end"/>
        </w:r>
      </w:p>
    </w:sdtContent>
  </w:sdt>
  <w:p w:rsidR="0026337E" w:rsidRPr="0026337E" w:rsidRDefault="0026337E" w:rsidP="0026337E">
    <w:pPr>
      <w:pStyle w:val="Piedepgina"/>
      <w:jc w:val="center"/>
      <w:rPr>
        <w:rFonts w:ascii="Arial" w:hAnsi="Arial" w:cs="Arial"/>
        <w:sz w:val="20"/>
        <w:szCs w:val="20"/>
      </w:rPr>
    </w:pPr>
    <w:r w:rsidRPr="0026337E">
      <w:rPr>
        <w:rFonts w:ascii="Arial" w:hAnsi="Arial" w:cs="Arial"/>
        <w:sz w:val="20"/>
        <w:szCs w:val="20"/>
      </w:rPr>
      <w:t xml:space="preserve">Formulario </w:t>
    </w:r>
    <w:r w:rsidR="00A23D23">
      <w:rPr>
        <w:rFonts w:ascii="Arial" w:hAnsi="Arial" w:cs="Arial"/>
        <w:sz w:val="20"/>
        <w:szCs w:val="20"/>
      </w:rPr>
      <w:t xml:space="preserve">T </w:t>
    </w:r>
    <w:r w:rsidRPr="0026337E">
      <w:rPr>
        <w:rFonts w:ascii="Arial" w:hAnsi="Arial" w:cs="Arial"/>
        <w:sz w:val="20"/>
        <w:szCs w:val="20"/>
      </w:rPr>
      <w:t>1</w:t>
    </w:r>
    <w:r w:rsidR="00A23D23">
      <w:rPr>
        <w:rFonts w:ascii="Arial" w:hAnsi="Arial" w:cs="Arial"/>
        <w:sz w:val="20"/>
        <w:szCs w:val="20"/>
      </w:rPr>
      <w:t>3</w:t>
    </w:r>
    <w:r w:rsidRPr="0026337E">
      <w:rPr>
        <w:rFonts w:ascii="Arial" w:hAnsi="Arial" w:cs="Arial"/>
        <w:sz w:val="20"/>
        <w:szCs w:val="20"/>
      </w:rPr>
      <w:t>-0</w:t>
    </w:r>
    <w:r w:rsidR="00A23D23">
      <w:rPr>
        <w:rFonts w:ascii="Arial" w:hAnsi="Arial" w:cs="Arial"/>
        <w:sz w:val="20"/>
        <w:szCs w:val="20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2A" w:rsidRDefault="0063312A" w:rsidP="0026337E">
      <w:pPr>
        <w:spacing w:after="0" w:line="240" w:lineRule="auto"/>
      </w:pPr>
      <w:r>
        <w:separator/>
      </w:r>
    </w:p>
  </w:footnote>
  <w:foot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53C8D"/>
    <w:rsid w:val="0007353F"/>
    <w:rsid w:val="000751EE"/>
    <w:rsid w:val="00090105"/>
    <w:rsid w:val="00091986"/>
    <w:rsid w:val="00097CC7"/>
    <w:rsid w:val="000A3D28"/>
    <w:rsid w:val="000E1589"/>
    <w:rsid w:val="000F1B62"/>
    <w:rsid w:val="000F2361"/>
    <w:rsid w:val="000F6083"/>
    <w:rsid w:val="00103651"/>
    <w:rsid w:val="001077B2"/>
    <w:rsid w:val="001305D7"/>
    <w:rsid w:val="00142AB3"/>
    <w:rsid w:val="00143D93"/>
    <w:rsid w:val="001440F5"/>
    <w:rsid w:val="00164357"/>
    <w:rsid w:val="00180A87"/>
    <w:rsid w:val="001A21EC"/>
    <w:rsid w:val="001A51E3"/>
    <w:rsid w:val="001B60FB"/>
    <w:rsid w:val="001C03E3"/>
    <w:rsid w:val="001D6DB1"/>
    <w:rsid w:val="001E3015"/>
    <w:rsid w:val="00200F85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6337E"/>
    <w:rsid w:val="00271109"/>
    <w:rsid w:val="00281FB6"/>
    <w:rsid w:val="002903B3"/>
    <w:rsid w:val="00290D2D"/>
    <w:rsid w:val="00293CF8"/>
    <w:rsid w:val="00295847"/>
    <w:rsid w:val="00295F38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045A"/>
    <w:rsid w:val="00331113"/>
    <w:rsid w:val="00347139"/>
    <w:rsid w:val="00353E1A"/>
    <w:rsid w:val="00355E7F"/>
    <w:rsid w:val="003647CC"/>
    <w:rsid w:val="00367D6C"/>
    <w:rsid w:val="00376749"/>
    <w:rsid w:val="00384038"/>
    <w:rsid w:val="003917B3"/>
    <w:rsid w:val="003961F7"/>
    <w:rsid w:val="00396629"/>
    <w:rsid w:val="003B4D08"/>
    <w:rsid w:val="003B7DC5"/>
    <w:rsid w:val="003C2778"/>
    <w:rsid w:val="003E46AE"/>
    <w:rsid w:val="003F5A01"/>
    <w:rsid w:val="0040431B"/>
    <w:rsid w:val="0041665D"/>
    <w:rsid w:val="004278C7"/>
    <w:rsid w:val="00427B4A"/>
    <w:rsid w:val="004347D2"/>
    <w:rsid w:val="00442FFB"/>
    <w:rsid w:val="00446616"/>
    <w:rsid w:val="00450709"/>
    <w:rsid w:val="00460241"/>
    <w:rsid w:val="00463104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665E"/>
    <w:rsid w:val="005877C0"/>
    <w:rsid w:val="005A3207"/>
    <w:rsid w:val="005A61AD"/>
    <w:rsid w:val="005A7893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3312A"/>
    <w:rsid w:val="00636E52"/>
    <w:rsid w:val="0064334D"/>
    <w:rsid w:val="0065608F"/>
    <w:rsid w:val="0065714F"/>
    <w:rsid w:val="0067234C"/>
    <w:rsid w:val="0068233F"/>
    <w:rsid w:val="0068493C"/>
    <w:rsid w:val="00691E84"/>
    <w:rsid w:val="006948DA"/>
    <w:rsid w:val="006961FF"/>
    <w:rsid w:val="006A3C22"/>
    <w:rsid w:val="006D3E0A"/>
    <w:rsid w:val="006F2C86"/>
    <w:rsid w:val="006F5C13"/>
    <w:rsid w:val="00706093"/>
    <w:rsid w:val="007154CA"/>
    <w:rsid w:val="00725EA5"/>
    <w:rsid w:val="00754984"/>
    <w:rsid w:val="00755AAF"/>
    <w:rsid w:val="00757561"/>
    <w:rsid w:val="0076038A"/>
    <w:rsid w:val="00763192"/>
    <w:rsid w:val="00763919"/>
    <w:rsid w:val="00765D02"/>
    <w:rsid w:val="00773E28"/>
    <w:rsid w:val="00775D51"/>
    <w:rsid w:val="00776883"/>
    <w:rsid w:val="00795456"/>
    <w:rsid w:val="007A6D66"/>
    <w:rsid w:val="007A789A"/>
    <w:rsid w:val="007C2803"/>
    <w:rsid w:val="007C71B9"/>
    <w:rsid w:val="007C7C39"/>
    <w:rsid w:val="007D5C08"/>
    <w:rsid w:val="007F0300"/>
    <w:rsid w:val="007F1DDA"/>
    <w:rsid w:val="007F5B8D"/>
    <w:rsid w:val="007F6131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3673"/>
    <w:rsid w:val="00895F79"/>
    <w:rsid w:val="008A707D"/>
    <w:rsid w:val="008B7188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A1AE8"/>
    <w:rsid w:val="009A274F"/>
    <w:rsid w:val="009B09A4"/>
    <w:rsid w:val="009B6593"/>
    <w:rsid w:val="009C5798"/>
    <w:rsid w:val="009C6367"/>
    <w:rsid w:val="00A06C2F"/>
    <w:rsid w:val="00A20D32"/>
    <w:rsid w:val="00A22225"/>
    <w:rsid w:val="00A23D23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4481"/>
    <w:rsid w:val="00AB0F29"/>
    <w:rsid w:val="00AB5F70"/>
    <w:rsid w:val="00AC72F4"/>
    <w:rsid w:val="00AD4404"/>
    <w:rsid w:val="00AD5495"/>
    <w:rsid w:val="00AF394E"/>
    <w:rsid w:val="00AF3D3D"/>
    <w:rsid w:val="00B03B46"/>
    <w:rsid w:val="00B048CA"/>
    <w:rsid w:val="00B17FDB"/>
    <w:rsid w:val="00B2344E"/>
    <w:rsid w:val="00B23AC7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52CD"/>
    <w:rsid w:val="00BA7846"/>
    <w:rsid w:val="00BB2559"/>
    <w:rsid w:val="00BB53CA"/>
    <w:rsid w:val="00BC04C0"/>
    <w:rsid w:val="00BE5D2C"/>
    <w:rsid w:val="00BF2C0C"/>
    <w:rsid w:val="00C05254"/>
    <w:rsid w:val="00C57EA5"/>
    <w:rsid w:val="00C768E8"/>
    <w:rsid w:val="00C9405E"/>
    <w:rsid w:val="00CA2FE4"/>
    <w:rsid w:val="00CA5550"/>
    <w:rsid w:val="00CB01E3"/>
    <w:rsid w:val="00CB6A21"/>
    <w:rsid w:val="00CC160A"/>
    <w:rsid w:val="00CC61C8"/>
    <w:rsid w:val="00CE0644"/>
    <w:rsid w:val="00CE22AB"/>
    <w:rsid w:val="00CE3BE8"/>
    <w:rsid w:val="00CF1A75"/>
    <w:rsid w:val="00D01421"/>
    <w:rsid w:val="00D469CB"/>
    <w:rsid w:val="00D6675B"/>
    <w:rsid w:val="00D731F0"/>
    <w:rsid w:val="00D85E99"/>
    <w:rsid w:val="00D86592"/>
    <w:rsid w:val="00D90A67"/>
    <w:rsid w:val="00D90F3F"/>
    <w:rsid w:val="00D9171B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76C9"/>
    <w:rsid w:val="00E41F75"/>
    <w:rsid w:val="00E45307"/>
    <w:rsid w:val="00E4723E"/>
    <w:rsid w:val="00E53A22"/>
    <w:rsid w:val="00E6048F"/>
    <w:rsid w:val="00E75872"/>
    <w:rsid w:val="00E86CB4"/>
    <w:rsid w:val="00E87DBF"/>
    <w:rsid w:val="00E901B2"/>
    <w:rsid w:val="00EA0540"/>
    <w:rsid w:val="00EA6C0D"/>
    <w:rsid w:val="00EB311A"/>
    <w:rsid w:val="00EC0847"/>
    <w:rsid w:val="00ED7A5D"/>
    <w:rsid w:val="00EE4CDD"/>
    <w:rsid w:val="00EE709F"/>
    <w:rsid w:val="00F261CD"/>
    <w:rsid w:val="00F3186F"/>
    <w:rsid w:val="00F321B0"/>
    <w:rsid w:val="00F37D66"/>
    <w:rsid w:val="00F5071E"/>
    <w:rsid w:val="00F54076"/>
    <w:rsid w:val="00F6252C"/>
    <w:rsid w:val="00F652E7"/>
    <w:rsid w:val="00F6607C"/>
    <w:rsid w:val="00F67968"/>
    <w:rsid w:val="00F74823"/>
    <w:rsid w:val="00F75286"/>
    <w:rsid w:val="00F759D4"/>
    <w:rsid w:val="00F77BEC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evelyn</cp:lastModifiedBy>
  <cp:revision>2</cp:revision>
  <cp:lastPrinted>2018-11-02T19:43:00Z</cp:lastPrinted>
  <dcterms:created xsi:type="dcterms:W3CDTF">2018-11-02T19:45:00Z</dcterms:created>
  <dcterms:modified xsi:type="dcterms:W3CDTF">2018-11-02T19:45:00Z</dcterms:modified>
</cp:coreProperties>
</file>